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404-02-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/2018-08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 w:rsidR="008E1F59">
              <w:rPr>
                <w:rFonts w:ascii="Times New Roman" w:hAnsi="Times New Roman"/>
                <w:sz w:val="24"/>
                <w:szCs w:val="24"/>
              </w:rPr>
              <w:t>1</w:t>
            </w:r>
            <w:r w:rsidR="001545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66574" w:rsidRDefault="00B66574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007E" w:rsidRDefault="00C7007E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A21FBF">
        <w:rPr>
          <w:rFonts w:ascii="Times New Roman" w:hAnsi="Times New Roman"/>
          <w:sz w:val="24"/>
          <w:szCs w:val="24"/>
          <w:lang w:val="sr-Cyrl-RS"/>
        </w:rPr>
        <w:t>3</w:t>
      </w:r>
      <w:r w:rsidRPr="00D14146">
        <w:rPr>
          <w:rFonts w:ascii="Times New Roman" w:hAnsi="Times New Roman"/>
          <w:sz w:val="24"/>
          <w:szCs w:val="24"/>
        </w:rPr>
        <w:t>/2018</w:t>
      </w:r>
    </w:p>
    <w:p w:rsidR="002470A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5849B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21FBF">
        <w:rPr>
          <w:rFonts w:ascii="Times New Roman" w:hAnsi="Times New Roman"/>
          <w:i/>
          <w:sz w:val="24"/>
          <w:szCs w:val="24"/>
          <w:lang w:val="ru-RU"/>
        </w:rPr>
        <w:t>з</w:t>
      </w:r>
      <w:r w:rsidR="00A21FBF">
        <w:rPr>
          <w:rFonts w:ascii="Times New Roman" w:hAnsi="Times New Roman"/>
          <w:sz w:val="24"/>
          <w:szCs w:val="24"/>
          <w:lang w:val="sr-Cyrl-CS"/>
        </w:rPr>
        <w:t>авршетку изградње Дома Партизана у Лесковцу</w:t>
      </w:r>
    </w:p>
    <w:p w:rsidR="00A21FBF" w:rsidRDefault="00A21FBF" w:rsidP="00A2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007E" w:rsidRDefault="00C7007E" w:rsidP="00A2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007E" w:rsidRDefault="00C7007E" w:rsidP="00A2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091FC5" w:rsidRPr="0015459E" w:rsidRDefault="0015459E" w:rsidP="00F87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75. став 1. тачка 5) Закона о јавним набавкама прописано је да понуђач мора доказати да има важећу дозволу надлежног органа за обављање делатности која је предмет јавне набавке, ако је таква дозвола предвиђена посебним прописом. С обзиром да је предмет набавке и систем дојаве пожара, односно испорука, монтажа опреме и инсталација и пуштање у рад система дојаве пожара на основу члана 25. став 1. Закона о заштити од пожара неопходно је да понуђач има овлашћење Министарства за обављање ових послова, односно Решење Министарства унутрашњих послова Републике Србије којим се овлашћује за обављање послова извођења посебних система и мера заштите од пожара и то стабилних система за дојаву пожара (В2). На основу наведеног молимо Вас да извршите измену конкурсне документације и у обавезне услове убаците дозволу надлежног органа, односно Решење Министарсва унутрашњих послова Републике Србије којим се овлашћује прив редно сруштво за обављање послвоа извођења посебних система и мера заштите од пожара и то стабилних система за дојаву пожара (В2).</w:t>
      </w:r>
    </w:p>
    <w:p w:rsidR="00091FC5" w:rsidRDefault="00091FC5" w:rsidP="00F8701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7010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15459E" w:rsidRDefault="00047528" w:rsidP="00F8701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ове јавне набавке су радови на завршетку изградње објекта Дома Партизана у Лесковцу, као што је то наведено у 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 xml:space="preserve">позивиу за подношење понуда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конкурсној документацији. Заинтересована лица могу да поднесу понуду уколико испуњавају одређене услове, како обавезне прописане Законом о јавним набавкама, тако и додатне које одређује наручилац. </w:t>
      </w:r>
    </w:p>
    <w:p w:rsidR="00C7007E" w:rsidRDefault="00047528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члана 25. став 1. Закона о заштити од пожара, на који се позива у претходном питању, прописано је да </w:t>
      </w:r>
      <w:r w:rsidR="009D1BC2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обављање послова из члана 24. 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стог закона, може  уговором ангажовати привредно друштво односно друго правно лице које испуњава прописане услове и има овлашћење Минситарсва за обављање ових п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ослова. Министар прописује ближ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услове за обављање послова из члана 24. 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вог закона и услове и начин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издавања и одузимања овлашћења из става 1. 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вог члана. Одредбом члана 24. 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рописано је да привредно друштво односно друго правно или физичко лице, које је власник односно корисник објекта или земљишта са високим ризиком од избијања пожара разврстава се у прву категорију угрожености од пожара и обавезно је да организује спровођење превентивних мера заштите од пожара, обезбеди технички опремљену и обучену ватрогасну јединицу са потребним бројем ватрогасаца и обезбеди адекватну опрему и урађаје за гашење пожара. </w:t>
      </w:r>
      <w:r w:rsidR="004A04D4">
        <w:rPr>
          <w:rFonts w:ascii="Times New Roman" w:hAnsi="Times New Roman" w:cs="Times New Roman"/>
          <w:sz w:val="24"/>
          <w:szCs w:val="24"/>
          <w:lang w:val="sr-Cyrl-CS"/>
        </w:rPr>
        <w:t>Привредно друштво односно друго правно или физичко лице, које је власник односно корисник објекта или земљишта са повећаним ризиком од избијања пожара разврстава се у другу категорију угрожености од пожара и обавезно је да организује спровођење превентивних мера заштите од пожара и стално дежурство са потребним бројем лица стручно оспособљених за спровођење мера зажтите од пожара и обезбеди адекватну опрему и уређаје за гашење пожара. Привредно друштво односно друго правно или физичко лице, које је власник односно корисник објекта или земљишта са извесним ризиком од избијања пожара разврстава се у трећу категорију угрожености од пожара и обавезно је да организује спровођење превентивних мера заштите од пожара са потребним бројем лица стручно оспособљених за спровођење мера зажтите од пожара и обезбеди адекватну опрему и уређаје за гашење пожара. Разврставање привредних друштава и других правних и физичких лица из овог члана врши се решењем из члана 23. овог закона. Минситар надлежан за унутрашње послове прописује потребну техни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4A04D4">
        <w:rPr>
          <w:rFonts w:ascii="Times New Roman" w:hAnsi="Times New Roman" w:cs="Times New Roman"/>
          <w:sz w:val="24"/>
          <w:szCs w:val="24"/>
          <w:lang w:val="sr-Cyrl-CS"/>
        </w:rPr>
        <w:t xml:space="preserve">ку опремљеност ватрогасне јединцие и број ватрогасаца из става 1. 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A04D4">
        <w:rPr>
          <w:rFonts w:ascii="Times New Roman" w:hAnsi="Times New Roman" w:cs="Times New Roman"/>
          <w:sz w:val="24"/>
          <w:szCs w:val="24"/>
          <w:lang w:val="sr-Cyrl-CS"/>
        </w:rPr>
        <w:t xml:space="preserve">вог члана, као и потребан број лица стручно оспособљених за спровођење заштите од пожара из става 2. 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A04D4">
        <w:rPr>
          <w:rFonts w:ascii="Times New Roman" w:hAnsi="Times New Roman" w:cs="Times New Roman"/>
          <w:sz w:val="24"/>
          <w:szCs w:val="24"/>
          <w:lang w:val="sr-Cyrl-CS"/>
        </w:rPr>
        <w:t>вог члана. Из наведних цитираних законских одредби јасно произилази да се исте однос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A04D4">
        <w:rPr>
          <w:rFonts w:ascii="Times New Roman" w:hAnsi="Times New Roman" w:cs="Times New Roman"/>
          <w:sz w:val="24"/>
          <w:szCs w:val="24"/>
          <w:lang w:val="sr-Cyrl-CS"/>
        </w:rPr>
        <w:t xml:space="preserve"> на организацију посла и ангажовања стручних овлашћених лица која морају бити ангажована од стране власника односно корисника објеката у којем се примењу мере заштите од пожара. С обзиром да се у конкретном случају не ради о јавној набавци услуге организовањ</w:t>
      </w:r>
      <w:r w:rsidR="009D1B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A04D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послова 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>заштите од пожара како је то прописано напред цитираним одредбама Закона о заштити од пожара,</w:t>
      </w:r>
      <w:r w:rsidR="004A04D4">
        <w:rPr>
          <w:rFonts w:ascii="Times New Roman" w:hAnsi="Times New Roman" w:cs="Times New Roman"/>
          <w:sz w:val="24"/>
          <w:szCs w:val="24"/>
          <w:lang w:val="sr-Cyrl-CS"/>
        </w:rPr>
        <w:t xml:space="preserve"> већ како је напред наведено о јавној набавци радова на завршетку изградње спортске дворане</w:t>
      </w:r>
      <w:r w:rsidR="00E03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A04D4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понуде није потребно испуњење обавезног услова у смислу </w:t>
      </w:r>
      <w:r w:rsidR="00E03B8A">
        <w:rPr>
          <w:rFonts w:ascii="Times New Roman" w:hAnsi="Times New Roman" w:cs="Times New Roman"/>
          <w:sz w:val="24"/>
          <w:szCs w:val="24"/>
          <w:lang w:val="sr-Cyrl-CS"/>
        </w:rPr>
        <w:t>важеће дозволе надлежног органа за обављање делатности која је предмет јавне набавке</w:t>
      </w:r>
      <w:r w:rsidR="008E7DE5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за Законом о јавним набавкама.</w:t>
      </w:r>
      <w:r w:rsidR="00C70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59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имати у виду и начела Закона о јавним набавкама а посебно начело обезбеђивања конкуренције и начело једнакости понуђача којима је прописано, између осталог, да наручилац не може да ограничи конкуренцију, а посебно не може онемогућавати било којег понуђача да учествује у поступку јавне набавке неоправданом употребом преговарачког поступка, нити коришћењем дискриминаторских услова, техничких спецификација и критеријума. Наручилац не може да одређује услове који би значили националну, територијалну, предметну или личну дискриминацију међу понуђачима, нити дискриминацију која би произилазила из класификације делатности коју обавља понуђач. </w:t>
      </w:r>
    </w:p>
    <w:p w:rsidR="00C7007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07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07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07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07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07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07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07E" w:rsidRPr="00C7007E" w:rsidRDefault="00C7007E" w:rsidP="009D1BC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091FC5" w:rsidRPr="00F87010" w:rsidRDefault="002470AF" w:rsidP="00F87010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>Питање</w:t>
      </w:r>
      <w:r w:rsidR="00091FC5"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</w:p>
    <w:p w:rsidR="00F87010" w:rsidRPr="00F87010" w:rsidRDefault="0015459E" w:rsidP="00F87010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који начин да попунимо предмер и предрачун радова, када је за одређене позиције у пољу у којем је потребно уписати јединичну цену и укупну цену уписано </w:t>
      </w:r>
      <w:r>
        <w:rPr>
          <w:rFonts w:ascii="Times New Roman" w:hAnsi="Times New Roman" w:cs="Times New Roman"/>
          <w:sz w:val="24"/>
          <w:szCs w:val="24"/>
          <w:lang w:val="ru-RU"/>
        </w:rPr>
        <w:t>„/ˮ. Молимо Вас да исправите наведени недостатак.</w:t>
      </w:r>
    </w:p>
    <w:p w:rsidR="00091FC5" w:rsidRPr="00F87010" w:rsidRDefault="00091FC5" w:rsidP="00F87010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u-RU"/>
        </w:rPr>
      </w:pPr>
      <w:r w:rsidRPr="00F87010">
        <w:rPr>
          <w:rFonts w:ascii="Times New Roman" w:hAnsi="Times New Roman"/>
          <w:sz w:val="24"/>
          <w:szCs w:val="24"/>
          <w:lang w:val="ru-RU"/>
        </w:rPr>
        <w:t>Одговор:</w:t>
      </w:r>
    </w:p>
    <w:p w:rsidR="00125AC4" w:rsidRDefault="00125AC4" w:rsidP="00125A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Позиције предмера и предрачина, које у пољу за унос цене и укупне цене садрже косу црту „ / „ су наведене само информативно тј, као позиције које су већ </w:t>
      </w:r>
      <w:r w:rsidR="00B75032">
        <w:rPr>
          <w:rFonts w:ascii="Times New Roman" w:hAnsi="Times New Roman"/>
          <w:sz w:val="24"/>
          <w:szCs w:val="24"/>
          <w:lang w:val="sr-Cyrl-RS"/>
        </w:rPr>
        <w:t>изведене</w:t>
      </w:r>
      <w:r>
        <w:rPr>
          <w:rFonts w:ascii="Times New Roman" w:hAnsi="Times New Roman"/>
          <w:sz w:val="24"/>
          <w:szCs w:val="24"/>
          <w:lang w:val="sr-Cyrl-CS"/>
        </w:rPr>
        <w:t xml:space="preserve">, односно нису предмет ове </w:t>
      </w:r>
      <w:r>
        <w:rPr>
          <w:rFonts w:ascii="Times New Roman" w:hAnsi="Times New Roman"/>
          <w:sz w:val="24"/>
          <w:szCs w:val="24"/>
          <w:lang w:val="sr-Cyrl-RS"/>
        </w:rPr>
        <w:t xml:space="preserve">јавне </w:t>
      </w:r>
      <w:r>
        <w:rPr>
          <w:rFonts w:ascii="Times New Roman" w:hAnsi="Times New Roman"/>
          <w:sz w:val="24"/>
          <w:szCs w:val="24"/>
          <w:lang w:val="sr-Cyrl-CS"/>
        </w:rPr>
        <w:t xml:space="preserve">набавке,  и  </w:t>
      </w:r>
      <w:r w:rsidRPr="00085844">
        <w:rPr>
          <w:rFonts w:ascii="Times New Roman" w:hAnsi="Times New Roman"/>
          <w:b/>
          <w:sz w:val="24"/>
          <w:szCs w:val="24"/>
          <w:lang w:val="sr-Cyrl-CS"/>
        </w:rPr>
        <w:t>не треба</w:t>
      </w:r>
      <w:r w:rsidR="00B75032">
        <w:rPr>
          <w:rFonts w:ascii="Times New Roman" w:hAnsi="Times New Roman"/>
          <w:b/>
          <w:sz w:val="24"/>
          <w:szCs w:val="24"/>
          <w:lang w:val="sr-Cyrl-CS"/>
        </w:rPr>
        <w:t xml:space="preserve"> их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85844">
        <w:rPr>
          <w:rFonts w:ascii="Times New Roman" w:hAnsi="Times New Roman"/>
          <w:b/>
          <w:sz w:val="24"/>
          <w:szCs w:val="24"/>
          <w:lang w:val="sr-Cyrl-CS"/>
        </w:rPr>
        <w:t>попуњавати</w:t>
      </w:r>
      <w:r w:rsidR="00B75032">
        <w:rPr>
          <w:rFonts w:ascii="Times New Roman" w:hAnsi="Times New Roman"/>
          <w:b/>
          <w:sz w:val="24"/>
          <w:szCs w:val="24"/>
        </w:rPr>
        <w:t xml:space="preserve"> </w:t>
      </w:r>
      <w:r w:rsidR="00B75032" w:rsidRPr="00B75032">
        <w:rPr>
          <w:rFonts w:ascii="Times New Roman" w:hAnsi="Times New Roman"/>
          <w:sz w:val="24"/>
          <w:szCs w:val="24"/>
          <w:lang w:val="sr-Cyrl-RS"/>
        </w:rPr>
        <w:t>а дате су ради сагледавања целине и континуитета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125AC4" w:rsidRPr="00AB7476" w:rsidRDefault="00125AC4" w:rsidP="00125AC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Укупну вредност понуде даје збир вредности позиција које нису искључене косом цртом.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125AC4" w:rsidRDefault="00125AC4" w:rsidP="009D1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BC2" w:rsidRDefault="009D1BC2" w:rsidP="009D1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BC2" w:rsidRDefault="009D1BC2" w:rsidP="009D1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BC2" w:rsidRDefault="009D1BC2" w:rsidP="009D1BC2">
      <w:pPr>
        <w:spacing w:after="0"/>
        <w:jc w:val="both"/>
        <w:rPr>
          <w:rFonts w:ascii="Times New Roman" w:hAnsi="Times New Roman"/>
          <w:noProof/>
          <w:sz w:val="24"/>
          <w:szCs w:val="20"/>
          <w:lang w:val="ru-RU"/>
        </w:rPr>
      </w:pPr>
    </w:p>
    <w:p w:rsidR="00DE1B3C" w:rsidRDefault="00DE1B3C" w:rsidP="009D1BC2">
      <w:pPr>
        <w:tabs>
          <w:tab w:val="left" w:pos="1134"/>
          <w:tab w:val="left" w:pos="2880"/>
          <w:tab w:val="right" w:pos="6804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0"/>
          <w:lang w:val="ru-RU"/>
        </w:rPr>
        <w:t>Комисија за јавну набавку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</w:t>
      </w:r>
    </w:p>
    <w:sectPr w:rsidR="00DE1B3C" w:rsidSect="009D1BC2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47528"/>
    <w:rsid w:val="00066C34"/>
    <w:rsid w:val="00091FC5"/>
    <w:rsid w:val="0011323E"/>
    <w:rsid w:val="00125AC4"/>
    <w:rsid w:val="00144203"/>
    <w:rsid w:val="0015459E"/>
    <w:rsid w:val="002470AF"/>
    <w:rsid w:val="002844EF"/>
    <w:rsid w:val="0035041A"/>
    <w:rsid w:val="00475FD3"/>
    <w:rsid w:val="00485DD4"/>
    <w:rsid w:val="004A04D4"/>
    <w:rsid w:val="004E2C44"/>
    <w:rsid w:val="004F7A46"/>
    <w:rsid w:val="008070E4"/>
    <w:rsid w:val="008C7226"/>
    <w:rsid w:val="008E1F59"/>
    <w:rsid w:val="008E7DE5"/>
    <w:rsid w:val="009D1BC2"/>
    <w:rsid w:val="00A05CC8"/>
    <w:rsid w:val="00A21FBF"/>
    <w:rsid w:val="00AB7476"/>
    <w:rsid w:val="00B66574"/>
    <w:rsid w:val="00B75032"/>
    <w:rsid w:val="00C42799"/>
    <w:rsid w:val="00C7007E"/>
    <w:rsid w:val="00D14146"/>
    <w:rsid w:val="00DE1B3C"/>
    <w:rsid w:val="00E03B8A"/>
    <w:rsid w:val="00E40120"/>
    <w:rsid w:val="00EB71C7"/>
    <w:rsid w:val="00F87010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15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15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5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15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15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5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3DB0-9F35-43DA-871F-DB584B45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cp:lastPrinted>2018-06-12T08:19:00Z</cp:lastPrinted>
  <dcterms:created xsi:type="dcterms:W3CDTF">2018-06-13T11:20:00Z</dcterms:created>
  <dcterms:modified xsi:type="dcterms:W3CDTF">2018-06-13T11:20:00Z</dcterms:modified>
</cp:coreProperties>
</file>